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sz w:val="28"/>
          <w:szCs w:val="28"/>
        </w:rPr>
      </w:pPr>
      <w:bookmarkStart w:id="0" w:name="_GoBack"/>
      <w:r>
        <w:rPr>
          <w:rFonts w:hint="eastAsia" w:cs="宋体"/>
          <w:sz w:val="28"/>
          <w:szCs w:val="28"/>
        </w:rPr>
        <w:t>附件二：全国运输线路一览表（水陆联运线路）</w:t>
      </w:r>
      <w:bookmarkEnd w:id="0"/>
      <w:r>
        <w:rPr>
          <w:rFonts w:hint="eastAsia" w:cs="宋体"/>
          <w:sz w:val="28"/>
          <w:szCs w:val="28"/>
        </w:rPr>
        <w:t>：</w:t>
      </w:r>
    </w:p>
    <w:tbl>
      <w:tblPr>
        <w:tblStyle w:val="3"/>
        <w:tblW w:w="82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204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地区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箱型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天津市西青区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天津市北辰区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大连市甘井子区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辽宁省朝阳市开发区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上海市闵行区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40GP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广州萝岗永和开发区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广州市天河区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广州经济技术开发区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广州经济技术开发区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广州市科学城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佛山市顺德区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佛山市南海区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东莞市高埗镇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海口市保税区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20GP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6"/>
                <w:szCs w:val="26"/>
              </w:rPr>
            </w:pPr>
          </w:p>
        </w:tc>
      </w:tr>
    </w:tbl>
    <w:p>
      <w:pPr>
        <w:rPr>
          <w:rFonts w:cs="宋体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970C0"/>
    <w:rsid w:val="6A1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2021-10-12T03:14:00Z</dcterms:created>
  <dc:creator>nuc</dc:creator>
  <cp:lastModifiedBy>nuc</cp:lastModifiedBy>
  <dcterms:modified xsi:type="dcterms:W3CDTF">2021-10-12T03:14:18Z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